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34 vom 20. Dezember 2005</w:t>
      </w:r>
    </w:p>
    <w:p>
      <w:r>
        <w:t>GR Gerichte, 2005-12-20, DE</w:t>
      </w:r>
    </w:p>
    <w:p>
      <w:r>
        <w:rPr>
          <w:b/>
        </w:rPr>
        <w:t xml:space="preserve">Quelle: </w:t>
      </w:r>
      <w:r>
        <w:t>https://mcp.opencaselaw.ch/entscheid/gr_gerichte_SF 2005 34</w:t>
      </w:r>
    </w:p>
    <w:p>
      <w:r>
        <w:t>FR: GR_GERICHTE SF 2005 34 du 20 décembre 2005</w:t>
      </w:r>
    </w:p>
    <w:p>
      <w:r>
        <w:t>IT: GR_GERICHTE SF 2005 34 del 20 dicembre 2005</w:t>
      </w:r>
    </w:p>
    <w:p>
      <w:pPr>
        <w:pStyle w:val="Heading2"/>
      </w:pPr>
      <w:r>
        <w:t>Regeste</w:t>
      </w:r>
    </w:p>
    <w:p>
      <w:r>
        <w:t>mehrfache sexuelle Nötigung etc. | Leib und Leben</w:t>
      </w:r>
    </w:p>
    <w:p>
      <w:pPr>
        <w:pStyle w:val="Heading2"/>
      </w:pPr>
      <w:r>
        <w:t>Erwägungen</w:t>
      </w:r>
    </w:p>
    <w:p>
      <w:r>
        <w:rPr>
          <w:b/>
        </w:rPr>
        <w:t>E. 1</w:t>
      </w:r>
    </w:p>
    <w:p>
      <w:r>
        <w:t>Der Angeklagte ist vollumfänglich geständig, die ihm in der Anklage- schrift zur Last gelegten Taten begangen zu haben. Im Folgenden geht es demnach im Wesentlichen um die rechtliche Subsumtion seines Verhaltens und die Frage der angemessenen Strafe. a) Die Beweislast für die dem Beschuldigten zur Last gelegten Tat liegt grundsätzlich beim Staat (Willy Padrutt, Kommentar zur Strafprozessordnung des Kantons Graubünden [StPO], 2. Auflage, Chur 1996, S. 306). Bei der Würdigung der Beweismittel entscheidet das Gericht nach freier Überzeugung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Nach der aus Art. 32 Abs. 1 BV und Art. 6 Ziff. 2 EMRK fliessenden Beweis- würdigungsregel „in dubio pro reo“ darf sich der Strafrichter jedoch nicht von der Existenz eines für den Beschuldigten ungünstigen Sachverhaltes überzeugt erklären, wenn bei objektiver Betrachtung Zweifel bestehen, ob sich der Sachver- 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schlechterdings nicht zu unterdrückende Zweifel handeln, das heisst um solche, die sich nach der objektiven Sachlage aufdrängen (BGE 120 Ia 37). Aufgabe des Richters ist es, ohne Bindung an starre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w:t>
      </w:r>
    </w:p>
    <w:p>
      <w:r>
        <w:t>8 ausschliesslicher Weise zu beseitigen vermögen (Padrutt, a.a.O., S. 307). Diese allgemeine Rechtsregel kommt im Übrigen nicht bereits dann zur Anwendung, wenn Aussage gegen Aussage steht; vielmehr ist anhand sämtlicher sich aus den Akten ergebender Umstände zu untersuchen, ob die Darstellung der Staatsanwaltschaft oder jene des Beschuldigten den Richter zu überzeugen vermag. Nur für den Fall, dass eine solche Überzeugung weder in der einen noch in der anderen Richtung zu gewinnen ist, muss gemäss dem Grundsatz „in dubio pro reo“ der für den Beschuldigten günstigere Sachverhalt Anwendung finden (Padrutt, a.a.O., S. 308), und es hat alsdann ein Freispruch zu erfolgen. b) Zu den verschiedenen Beweismitteln ist anzumerken, dass der Grund- satz der freien Beweiswürdigung eine Rangordnung verbietet. Demnach sind die Aussagen von Zeugen, Auskunftspersonen wie auch jene des Angeschuldigten voll gültige Beweismittel mit derselben Beweiseignung. Bei der Würdigung der Beweise ist weniger die Form, sondern vielmehr der Inhalt, das heisst deren innere Autorität, massgebend (Niklaus Schmid, Strafprozessrecht, 3. Auflage, Zürich 1997, N 613). Entsprechend interessiert im Rahmen des Gerichtsverfahrens nicht in erster Linie die persönliche Glaubwürdigkeit des Angeschuldigten oder von Zeugen, sondern die sachliche Glaubhaftigkeit ihrer konkreten Aussagen (Robert Hauser, Der Zeu- 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Entlastungsbemerkungen zu Gunsten des Beschuldigten und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w:t>
      </w:r>
    </w:p>
    <w:p>
      <w:r>
        <w:rPr>
          <w:b/>
        </w:rPr>
        <w:t>E. 2</w:t>
      </w:r>
    </w:p>
    <w:p>
      <w:r>
        <w:t>Gemäss Art. 189 Abs. 1 StGB wird mit Zuchthaus bis zu zehn Jahren oder mit Gefängnis bestraft, wer eine Person zur Duldung einer beischlafsähnlichen</w:t>
      </w:r>
    </w:p>
    <w:p>
      <w:r>
        <w:t>9 oder einer anderen sexuellen Handlung nötigt, namentlich indem er sie bedroht, Gewalt anwendet, sie unter psychischen Druck setzt oder zum Widerstand unfähig macht. Geschütztes Rechtsgut ist das Recht auf Selbstbestimmung in sexueller Hin- sicht. Bezüglich Täter und Opfer kennt Art. 189 StGB im Gegensatz zu Art. 190 StGB keine Einschränkung. Die ersten drei im Gesetz erwähnten Nötigungsmittel brauchen nicht zu einer vollständigen Widerstandsunfähigkeit des Opfers zu führen; es genügt die Schaffung einer tatsituativen Zwangslage, welche dem Opfer eine Gegenwehr verunmöglicht oder unzumutbar macht und es dazu bewegt wird, dem Ansinnen des Täters nachzugeben. Der Druck, den der Täter ausübt, kann darin bestehen, dass dem Opfer durch seine Unterlegenheit oder emotionale Abhängig- keit gegenüber dem Täter eine Widersetzung nicht zugemutet werden kann. Die in Art. 189 Abs. 1 StGB genannten Nötigungsmittel werden vom Gesetz grundsätzlich gleich bewertet (BGE 128 IV 104 sowie BGer 6S.361/2004 vom 3.5.2005). a) Das Tatmittel der Gewalt ist gegeben, wenn der Täter auf den Körper des Opfers einwirkt. Dies kann entweder mittels Brachialgewalt (Schlagen, Stechen, Festhalten) oder durch Betäubung, Narkotisierung und Einsatz von Tränengas (wei- tere Beispiele bei Philipp Maier, in: Marcel A. Niggli/Hans Wiprächtiger [Hrsg.], Bas- ler Kommentar, Strafgesetzbuch II, Art. 111-401 StGB, Basel 2003, N 12 ff. zu Art. 189 StGB) erfolgen. Dass das Opfer widerstandsunfähig wird, ist nicht erforderlich. Es genügt jene Gewalt, welche nötig ist, dieses gefügig zu machen. Nicht nötig ist insbesondere, dass sich das Opfer andauernd wehrt - unter Umständen gibt es auf, weil es eine weitere Abwehr für zwecklos hält oder zermürbt ist (Stefan Trechsel, Schweizerisches Strafgesetzbuch, Kurzkommentar, 2. Auflage, Zürich 1997, N 5 zu Art. 189 StGB). Bedroht ist das Opfer, wenn der Täter diesem explizit oder implizit mit gewaltsamer Einwirkung auf den Körper droht, gegen welche sich das Opfer nicht mit guter Aussicht auf Erfolg zur Wehr setzen könnte (Trechsel, a.a.O., N 4 zu Art. 189 StGB). Mit der Tatvariante des Unter-psychischen-Druck-Setzens bringt der Gesetzgeber zum Ausdruck, dass sich die tatbestandsmässige Ausweglosigkeit der Situation auch ergeben kann, ohne dass der Täter eigentliche Gewalt anwendet. Ob im konkreten Fall die geforderte Nötigungsintensität gegeben ist, lässt sich nur aufgrund einer umfassenden Würdigung der relevanten Umstände entscheiden. Letztlich bleibt aber das Ausmass der Beeinflussung, das für den psychischen Druck erforderlich ist, unbestimmbar, was für zurückhaltende Anwendung dieser Tatbestandsvariante spricht (BGE 128 IV 99, 111). Das nach Art. 189 StGB dem Opfer abgenötigte Verhalten besteht in der Duldung beziehungsweise der Vor- nahme der beischlafsähnlichen oder sexuellen Handlung (BGE 127 IV 198 ff.); zwi- schen Einsatz des Nötigungsmittels und dem Taterfolg muss ein Kausalzusammen-</w:t>
      </w:r>
    </w:p>
    <w:p>
      <w:r>
        <w:t>10 hang bestehen. Der Täter muss gerade durch die Nötigungshandlung die Duldung der sexuellen Handlung erzwungen haben (Trechsel, a.a.O., N 11 zu Art. 189 StGB). b) Unter den Begriff der sexuellen Handlungen fallen orale und anale Pe- netrationen, Einführung von Gegenständen in Vagina und Anus, Reiben des Ge- schlechtsteils des Täters oder der Täterin an den Genitalien oder an der Brust des Opfers, aber auch etwa das längere oder intensive Betasten des weiblichen oder männlichen Geschlechtsteils über der Kleidung sowie Zungenküsse (Maier, Basler Kommentar, a.a.O., N 31 ff. zu Art. 189 StGB). Unter dem Begriff der beischlafsähn- lichen Handlung versteht man eine körperliche Vereinigung, die in ihrer Erscheinung und Innigkeit mit dem Beischlaf vergleichbar ist. Als Beispiele können das Reiben des männlichen Gliedes an den Oberschenkeln direkt unterhalb des Geschlechts- teils des Partners oder das Stimulieren der Vagina oder des Gliedes durch Zunge oder Lippen genannt werden. Die Vollendung der Tat tritt mit der beischlafsähnli- chen beziehungsweise sexuellen Handlung ein, zu deren Duldung das Opfer genötigt wird. Subjektiv ist Vorsatz erforderlich, wobei Eventualvorsatz genügt. Wer es ernstlich für möglich hält, das Opfer könnte mit der sexuellen Handlung nicht einverstanden sein und nach Einsatz des Nötigungsmittels dennoch die sexuelle Handlung vornimmt oder das Opfer zu deren Duldung veranlasst, erfüllt den sub- jektiven Tatbestand der sexuellen Nötigung. c) Der Angeklagte und das Opfer machten weitgehend identische Anga- ben über den Tatablauf. So ist erstellt, dass X., nachdem er am Morgen des 14. März 2005 vor der Wohnung seiner ehemaligen Freundin gewartet hatte, sich un- mittelbar nach dem Öffnen der Wohnungstüre gewaltsam Zutritt verschaffte und K. mit vorgehaltener Pistole bedrohte (act. 4.7, S. 2 und act. 4.8, S. 2 f.). Im weiteren Verlauf trat insofern eine gewisse Beruhigung ein, als sich der Angeklagte mit K. an den Tisch setzte und über Verschiedenes diskutiert wurde. Nach einer gewissen Zeit verstaute X. dann seine Waffe im Rucksack. K. machte in der polizeilichen Ein- vernahme geltend, sich als Gefangene gefühlt zu haben; ihre Handlungsfähigkeit sei total eingeschränkt gewesen und sie habe sehr grosse Angst gehabt, der Ange- klagte könne ihr im Falle eines Ungehorsams ein Leid antun (act.4.7, S. 5). Zwar bestätigte sie, dass im Laufe des Tages die Angst etwas verflogen sei, dennoch sei diese nach wie vor präsent gewesen. Sie habe stets befürchtet, der Angeklagte könne die Pistole wieder hervornehmen. Zudem habe sie gewusst, dass X. Hand- schellen und Seile mitgenommen habe (act. 4.13, S. 4). In diesem Zusammenhang soll nicht unerwähnt bleiben, dass der Angeklagte K. bereits in den Monaten zuvor</w:t>
      </w:r>
    </w:p>
    <w:p>
      <w:r>
        <w:t>11 mit E-mails und Briefen regelrecht belästigt hatte, wobei es immer wieder um das gleiche Thema ging und in einzelnen Fällen auch explizit Drohungen ausgespro- chen wurden (vgl. act. 5.1 und 5.2). Das Verhalten des Täters lässt sich gemäss dem Gutachten der psychiatrischen Klinik G. unter den neuzeitlichen Begriff des „Stalking“ subsumieren. Darunter verstehe man eine systematische Belästigung und Verfolgung einer Person durch hartnäckige Annäherungsversuche, welche die verschiedensten Formen annehmen können und von Briefen bis zu schweren Ge- walttaten gegen das Opfer oder seine Bezugspersonen reichen (act. 2.10, S. 31). Von den verschiedenen Stalking-Typen treffe auf den Angeklagten jener des ver- schmähten Liebehabers zu, welcher nach Abbruch der Beziehung nicht loslassen könne und sich am häufigsten von allen Stalker-Typen zu Gewalttaten hinreissen lasse. Im Lichte dieser Erwägungen ist ohne weiteres nachvollziehbar, dass sich K. vom Angeklagten bedroht fühlte, zumal X. eine Waffe mit sich führte und das Opfer davon ausging, sie sei geladen (act. 4.13). Die Bedrohung war während der ganzen Zeit zumindest latent vorhanden; aufgrund der Ereignisse im Vorfeld der Tat war das Verhalten von X. schlechterdings nicht berechenbar und ein Fluchtversuch des Opfers hätte nicht absehbare Konsequenzen nach sich ziehen können. Es ist daher verständlich, dass die gegebene Zwangslage es K. verunmöglichte, von allfälligen Fluchtmöglichkeiten Gebrauch zu machen. Namentlich durfte sie nicht davon aus- gehen, des Nachts unbemerkt aus der Wohnung gelangen zu können; zu gross wäre das Risiko eines Aufwachens des Täters gewesen. Dass K., welche sich in grosser Angst befand, in der gegebenen Situation und aufgrund der Unberechen- barkeit des Täters sowie aufgrund der Unmöglichkeit, dessen Reaktion auf einen allenfalls möglichen Fluchtversuch abschätzen zu können, eben gerade keinen Fluchtversuch unternahm, kann ihr nun wahrlich nicht angelastet werden. Sie konnte in keiner Phase davon ausgehen, X. würde einem solchen Verhalten dul- dend gegenüberstehen. Dass die in Frage stehenden Handlungen sexueller Natur waren und daher unter den objektiven Tatbestand von Art. 189 Abs. 1 StGB fallen, bedarf keiner weiteren Begründung. Das Opfer hat im Übrigen klar dargelegt, dass die sexuellen Handlungen aus Angst vor negativen Konsquenzen geduldet bzw. vorgenommen worden seien, womit der Kausalzusammenhang zwischen dem Ein- satz des Nötigungsmittels und dem Taterfolg gegeben ist. In subjektiver Hinsicht handelte X. zumindest eventualvorsätzlich, musste er doch davon ausgehen, seine ehemalige Freundin sei mit den sexuellen Handlungen nicht einverstanden. Dies zeigte sich insbesondere auch darin, dass das Opfer jeweils den Kopf zur Seite drehte, als der Angeklagte es zu küssen versuchte (act. 4.7, S. 3 und 4). Unbestreit- bar kam es zu mehreren sexuellen Handlungen. Dreimal musste das Opfer den Täter mit der Hand befriedigen, letztmals am Morgen des 15. März 2005. Zweimal</w:t>
      </w:r>
    </w:p>
    <w:p>
      <w:r>
        <w:t>12 nahm der Täter am Opfer sexuelle Handlungen vor. Am Vormittag des 14. März 2005 drang X. mit dem Finger in die Scheide von K. ein, am Nachmittag wollte er sie oral befriedigen (act. 4.7, 4.8). Nach dem Dargelegten hat sich der Angeklagte der mehrfachen sexuellen Nötigung schuldig gemacht.</w:t>
      </w:r>
    </w:p>
    <w:p>
      <w:r>
        <w:rPr>
          <w:b/>
        </w:rPr>
        <w:t>E. 3</w:t>
      </w:r>
    </w:p>
    <w:p>
      <w:r>
        <w:t>Der Freiheitsberaubung gemäss Art. 183 Ziff. 1 Abs. 1 StGB macht sich schuldig, wer jemanden unrechtmässig festnimmt oder gefangen hält oder je- mandem in anderer Weise unrechtmässig die Freiheit entzieht. Als Sanktion sieht das Gesetz Zuchthaus bis zu fünf Jahren oder Gefängnis vor. a) Der objektive Tatbestand besteht darin, dass der Täter jemandem un- rechtmässig die Fortbewegungsfreiheit entzieht. In Bezug auf den subjektiven Tat- bestand wird vorsätzliches Handeln verlangt. Geschützt ist die Fortbewegungsfrei- heit, das heisst die Möglichkeit, sich nach eigener Wahl vom jeweiligen Aufenthalts- ort an einen anderen Ort zu begeben (Delnon/Rüdy, Basler Kommentar, a.a.O., N</w:t>
      </w:r>
    </w:p>
    <w:p>
      <w:r>
        <w:rPr>
          <w:b/>
        </w:rPr>
        <w:t>E. 6</w:t>
      </w:r>
    </w:p>
    <w:p>
      <w:r>
        <w:t>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 Tatschwere hängt auch von der Entscheidungsfreiheit des Täters ab; je leichter er die übertretene Norm hätte befolgen können, desto schwerer wiegt seine Entscheidung, sie zu verletzen, und folglich seine Tat (Pra 90, Nr. 140). Die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 (BGE 121 IV 4). Je höher die Strafe ist, desto vollständiger muss die Begründung sein; dies gilt vor allem, wenn die Strafe innerhalb des gesetzlichen Rahmens als vergleichsweise sehr hoch erscheint.</w:t>
      </w:r>
    </w:p>
    <w:p>
      <w:r>
        <w:t>16 a) Wenn jemand durch eine oder mehrere Handlungen mehrere Freiheitsstrafen verwirkt hat, so verurteilt ihn der Richter nach dem in Art. 68 Ziff. 1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 Strafzumessung bildet im vorliegenden Fall der in Art. 189 Abs. 1 StGB vorgesehene Strafrahmen, der von Gefängnis bis zu Zuchthaus in der Höhe von 10 Jahren reicht. b) Der Gesetzgeber hat damit zu erkennen gegeben, dass die sexuelle Nötigung als ernstzunehmendes Delikt zu qualifizieren ist. Die objektive Schwere des Delikts im konkreten Einzelfall zeigt sich aber insbesondere aufgrund des Ausmasses des deliktischen Erfolgs sowie der Art und Weise der Ausführung der Tat. Diese erlauben dem Gericht eine Verfeinerung der Wertung, die der Gesetzgeber vorgezeichnet hat. Das Verschulden des Angeklagten wiegt sowohl hinsichtlich der Tat- als auch der Täterkomponente schwer. X. hat K. zunächst bewusst mit seiner Armeepistole bedroht und sie über einen erheblichen Zeitraum, nämlich etwa vierundzwanzig Stunden, in ihrer Wohnung festgehalten. Dabei hatte er anfänglich offen gelassen, wie lange er zu bleiben gedenke. Zudem hat er seine ehemalige Freundin bereits im Vorfeld der Tat über einen längeren Zeitraum telefonisch und schriftlich drangsaliert, sein Vorhaben im Detail geplant und das Opfer in der Woche vor der Tatausführung regelrecht überwacht. Dass der Angeklagte bei der Vornahme der sexuellen Handlungen behutsam vorging, vermag ihn nicht zu entlasten. Offensichtlich willigte K. nur aus Angst vor Konsequenzen ein, wobei sie sich eigenen Angaben zufolge „dreckig“ fühlte. Strafschärfend wirken sich vorliegend die mehrfache Begangenschaft und das Zusammentreffen verschiedener Straftatbestände aus, wobei hier neben dem Tatbestand der sexuellen Nötigung mit einer hohen Strafdrohung auch die Freiheitsberaubung mit einer ebenfalls hohen Strafdrohung (Gefängnis bis Zuchthaus von 5 Jahren) ins Gewicht fällt. Nur unwesentlich straferhöhend ist die Vorstrafe aus dem Jahre 2001 auf dem Gebiet des Militärstrafrechts zu werten. Strafmindernd können das vollumfängliche Geständnis, die während der Strafuntersuchung und anlässlich der Hauptverhandlung gezeigte Reue und Einsicht, die mehrfache Entschuldigung beim Opfer und der gute bürgerliche Leumund berücksichtigt werden. Strafmildernd fällt die vom Gutachter festgestellte, leicht verminderte Zurechnungsfähigkeit ins Gewicht. Wie bereits erwähnt,</w:t>
      </w:r>
    </w:p>
    <w:p>
      <w:r>
        <w:t>17 berücksichtigt das Gericht die bei X. vorhandene Einsicht und Reue, insbesondere, dass er sich mehrmals entschuldigt hat, den Schaden - soweit überhaupt möglich - ersetzt und sich behandeln lässt. Dieses Verhalten muss somit strafmindernd berücksichtigt werden. Dagegen besteht für das Gericht keine Veranlassung, die Strafe - entsprechend der Kann-Vorschrift von Art. 64 StGB - diesbezüglich zu mildern (vgl. BGE 116 IV 13 f. und 302). Im Ergebnis stehen somit - bei insgesamt schwerem Verschulden - der Strafschärfung (Art. 68 StGB) die Strafmilderung wegen leicht verminderter Zurechnungsfähigkeit (Art. 11 in Verbindung mit Art. 66 StGB) und mehrere Strafminderungsgründe gegenüber. Der Staatsanwalt hat eine Strafe von 36 Monaten beantragt. Das Gericht komm nun - gerade aufgrund der doch gezeigten Reue und Einsicht - und den weiteren Strafminderungsgründen zum Schluss, dass eine Reduktion dieses Strafmasses, welches bei den vom Staatsanwalt angeführten Strafzumessungsgründen noch angemessen sein könnte, um 9 Monate gerechtfertigt ist. Keinesfalls aber rechtfertigt sich bei diesem schweren, erheblichen Verschulden und bei der Verwirklichung von Tatbeständen, welche schon der Gesetzgeber mit einer hohen Strafdrohung versehen hat, eine Strafe von lediglich 18 Monaten Gefängnis. Unter Berücksichtigung sämtlicher Strafzumessungsgründe erscheint somit eine Strafe von 27 Monaten Gefängnis als angemessen. c)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hat, den Strafvollzug zu verkürzen oder zu umgehen (BGE 117 IV 406). Als solches Verhalten gilt weder die blosse Verweigerung von Aussagen noch das blosse Leugnen der Tat, denn der Beschuldigte ist nicht zur Offenbarung von Straftaten verpflichtet. Die Anrechnung hat indessen zu unterbleiben,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Rechtsprechung bestehen in Bezug auf X. nicht, so dass einer Anrechnung der erstandenen Untersuchungshaft von 23 Tagen an die ausgefällte Strafe nichts entgegensteht.</w:t>
      </w:r>
    </w:p>
    <w:p>
      <w:r>
        <w:t>18</w:t>
      </w:r>
    </w:p>
    <w:p>
      <w:r>
        <w:rPr>
          <w:b/>
        </w:rPr>
        <w:t>E. 7</w:t>
      </w:r>
    </w:p>
    <w:p>
      <w:r>
        <w:t>Am 29. August 2005 reichte K. eine Adhäsionsklage gegen den Ange- klagten ein. Mit Schreiben vom 15. Dezember 2005 an den Kantonsgerichtsvizeprä- sidenten teilte die Adhäsionsklägerin mit, dass sie sich mit dem Angeklagten aus- sergerichtlich per Saldo aller Ansprüche habe einigen können. X. anerkenne, dass er aus dem Übergriff vom 14./15. März 2005 gegenüber K. schadenersatz- und ge- nugtuungspflichtig sei. Er habe sich zur Bezahlung eines Schadenersatzes von Fr. 3'000.-- und einer Genugtuung von Fr. 7'000.-- zuzüglich Zins zu 5% seit 1. August 2005 verpflichtet. Die aussergerichtlichen Kosten würden wettgeschlagen. Dem er- zielten Vergleich zufolge, dessen Wortlaut unter lit. C des Sachverhaltes wiederge- geben ist, erübrigt sich eine gerichtliche Beurteilung der Adhäsionsklage; im Dispo- sitiv ist davon entsprechend Vormerk zu nehmen.</w:t>
      </w:r>
    </w:p>
    <w:p>
      <w:r>
        <w:rPr>
          <w:b/>
        </w:rPr>
        <w:t>E. 8</w:t>
      </w:r>
    </w:p>
    <w:p>
      <w:r>
        <w:t>Die Kosten der Strafuntersuchung, des Gerichtsverfahrens sowie der amtlichen Verteidigung gehen bei diesem Ausgang des Verfahrens zu Lasten des Verurteilten (Art. 158 Abs. 1 StPO). Die Kosten der angerechneten Untersuchungs- haft und jene des Strafvollzuges trägt der Kanton Graubünden (Art. 158 Abs. 3 StPO in Verbindung mit Art. 188 StPO).</w:t>
      </w:r>
    </w:p>
    <w:p>
      <w:r>
        <w:t>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